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58240"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0040B7C8" w:rsidR="00E5674E" w:rsidRPr="007F12B7" w:rsidRDefault="00DD4E2C" w:rsidP="00E5674E">
                            <w:pPr>
                              <w:pStyle w:val="Titre"/>
                              <w:jc w:val="center"/>
                              <w:rPr>
                                <w:rStyle w:val="TitreGras"/>
                                <w:color w:val="auto"/>
                                <w:sz w:val="48"/>
                                <w:szCs w:val="44"/>
                              </w:rPr>
                            </w:pPr>
                            <w:r w:rsidRPr="00DD4E2C">
                              <w:rPr>
                                <w:rStyle w:val="TitreGras"/>
                                <w:i/>
                                <w:iCs/>
                                <w:color w:val="auto"/>
                                <w:sz w:val="48"/>
                                <w:szCs w:val="44"/>
                              </w:rPr>
                              <w:t>Laine à dérouler IBR sur plancher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0040B7C8" w:rsidR="00E5674E" w:rsidRPr="007F12B7" w:rsidRDefault="00DD4E2C" w:rsidP="00E5674E">
                      <w:pPr>
                        <w:pStyle w:val="Titre"/>
                        <w:jc w:val="center"/>
                        <w:rPr>
                          <w:rStyle w:val="TitreGras"/>
                          <w:color w:val="auto"/>
                          <w:sz w:val="48"/>
                          <w:szCs w:val="44"/>
                        </w:rPr>
                      </w:pPr>
                      <w:r w:rsidRPr="00DD4E2C">
                        <w:rPr>
                          <w:rStyle w:val="TitreGras"/>
                          <w:i/>
                          <w:iCs/>
                          <w:color w:val="auto"/>
                          <w:sz w:val="48"/>
                          <w:szCs w:val="44"/>
                        </w:rPr>
                        <w:t>Laine à dérouler IBR sur plancher</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0F39FE6A" w14:textId="6A290F6E" w:rsidR="003431B6" w:rsidRPr="003431B6" w:rsidRDefault="003431B6" w:rsidP="004C6B5A">
      <w:pPr>
        <w:jc w:val="both"/>
        <w:rPr>
          <w:rFonts w:ascii="Gotham Rounded Book" w:hAnsi="Gotham Rounded Book" w:cstheme="minorHAnsi"/>
          <w:b/>
          <w:bCs/>
          <w:sz w:val="24"/>
          <w:szCs w:val="28"/>
        </w:rPr>
      </w:pPr>
      <w:r w:rsidRPr="003431B6">
        <w:rPr>
          <w:rFonts w:ascii="Gotham Rounded Book" w:hAnsi="Gotham Rounded Book" w:cstheme="minorHAnsi"/>
          <w:b/>
          <w:bCs/>
          <w:sz w:val="24"/>
          <w:szCs w:val="28"/>
        </w:rPr>
        <w:t>Pose d’isolant thermique à dérouler IBR sur plancher de comble perdu</w:t>
      </w:r>
    </w:p>
    <w:p w14:paraId="08E9C99B" w14:textId="68124A92" w:rsidR="00D26793" w:rsidRPr="00184549" w:rsidRDefault="00D26793" w:rsidP="00D26793">
      <w:pPr>
        <w:jc w:val="both"/>
        <w:rPr>
          <w:rFonts w:ascii="Gotham Rounded Book" w:hAnsi="Gotham Rounded Book"/>
        </w:rPr>
      </w:pPr>
      <w:r w:rsidRPr="00184549">
        <w:rPr>
          <w:rFonts w:ascii="Gotham Rounded Book" w:hAnsi="Gotham Rounded Book"/>
        </w:rPr>
        <w:t>L’isolant thermique sera sous forme de rouleaux de laine de verre, certifié ACERMI, de conductivité thermique 0,040 W</w:t>
      </w:r>
      <w:proofErr w:type="gramStart"/>
      <w:r w:rsidRPr="00184549">
        <w:rPr>
          <w:rFonts w:ascii="Gotham Rounded Book" w:hAnsi="Gotham Rounded Book"/>
        </w:rPr>
        <w:t>/(</w:t>
      </w:r>
      <w:proofErr w:type="spellStart"/>
      <w:proofErr w:type="gramEnd"/>
      <w:r w:rsidRPr="00184549">
        <w:rPr>
          <w:rFonts w:ascii="Gotham Rounded Book" w:hAnsi="Gotham Rounded Book"/>
        </w:rPr>
        <w:t>m.K</w:t>
      </w:r>
      <w:proofErr w:type="spellEnd"/>
      <w:r w:rsidRPr="00184549">
        <w:rPr>
          <w:rFonts w:ascii="Gotham Rounded Book" w:hAnsi="Gotham Rounded Book"/>
        </w:rPr>
        <w:t>), de type IBR (Nu ou revêtu Kraft) de la société I</w:t>
      </w:r>
      <w:r w:rsidR="002727F2" w:rsidRPr="00184549">
        <w:rPr>
          <w:rFonts w:ascii="Gotham Rounded Book" w:hAnsi="Gotham Rounded Book"/>
        </w:rPr>
        <w:t>sover</w:t>
      </w:r>
      <w:r w:rsidRPr="00184549">
        <w:rPr>
          <w:rFonts w:ascii="Gotham Rounded Book" w:hAnsi="Gotham Rounded Book"/>
        </w:rPr>
        <w:t>, d’épaisseur</w:t>
      </w:r>
      <w:r w:rsidRPr="00184549">
        <w:rPr>
          <w:rFonts w:ascii="Gotham Rounded Book" w:hAnsi="Gotham Rounded Book"/>
          <w:i/>
        </w:rPr>
        <w:t xml:space="preserve"> </w:t>
      </w:r>
      <w:r w:rsidRPr="00184549">
        <w:rPr>
          <w:rFonts w:ascii="Gotham Rounded Book" w:hAnsi="Gotham Rounded Book"/>
          <w:i/>
          <w:highlight w:val="lightGray"/>
        </w:rPr>
        <w:t xml:space="preserve">(cf. </w:t>
      </w:r>
      <w:proofErr w:type="gramStart"/>
      <w:r w:rsidRPr="00184549">
        <w:rPr>
          <w:rFonts w:ascii="Gotham Rounded Book" w:hAnsi="Gotham Rounded Book"/>
          <w:i/>
          <w:highlight w:val="lightGray"/>
        </w:rPr>
        <w:t>tableau)</w:t>
      </w:r>
      <w:r w:rsidRPr="00184549">
        <w:rPr>
          <w:rFonts w:ascii="Gotham Rounded Book" w:hAnsi="Gotham Rounded Book"/>
        </w:rPr>
        <w:t xml:space="preserve">  mm</w:t>
      </w:r>
      <w:proofErr w:type="gramEnd"/>
      <w:r w:rsidRPr="00184549">
        <w:rPr>
          <w:rFonts w:ascii="Gotham Rounded Book" w:hAnsi="Gotham Rounded Book"/>
        </w:rPr>
        <w:t xml:space="preserve"> permettant d’atteindre une résistance thermique de </w:t>
      </w:r>
      <w:r w:rsidRPr="00184549">
        <w:rPr>
          <w:rFonts w:ascii="Gotham Rounded Book" w:hAnsi="Gotham Rounded Book"/>
          <w:i/>
          <w:highlight w:val="lightGray"/>
        </w:rPr>
        <w:t>(cf. tableau)</w:t>
      </w:r>
      <w:r w:rsidRPr="00184549">
        <w:rPr>
          <w:rFonts w:ascii="Gotham Rounded Book" w:hAnsi="Gotham Rounded Book"/>
        </w:rPr>
        <w:t xml:space="preserve"> m</w:t>
      </w:r>
      <w:r w:rsidRPr="00184549">
        <w:rPr>
          <w:rFonts w:ascii="Gotham Rounded Book" w:hAnsi="Gotham Rounded Book" w:cs="Courier New"/>
        </w:rPr>
        <w:t>²</w:t>
      </w:r>
      <w:r w:rsidRPr="00184549">
        <w:rPr>
          <w:rFonts w:ascii="Gotham Rounded Book" w:hAnsi="Gotham Rounded Book"/>
        </w:rPr>
        <w:t xml:space="preserve">.K/W. </w:t>
      </w:r>
    </w:p>
    <w:p w14:paraId="0BE7E6B9" w14:textId="106378B2" w:rsidR="00D26793" w:rsidRPr="00184549" w:rsidRDefault="00D26793" w:rsidP="00D26793">
      <w:pPr>
        <w:jc w:val="both"/>
        <w:rPr>
          <w:rFonts w:ascii="Gotham Rounded Book" w:hAnsi="Gotham Rounded Book"/>
        </w:rPr>
      </w:pPr>
      <w:r w:rsidRPr="00184549">
        <w:rPr>
          <w:rFonts w:ascii="Gotham Rounded Book" w:hAnsi="Gotham Rounded Book"/>
          <w:noProof/>
        </w:rPr>
        <w:drawing>
          <wp:anchor distT="0" distB="0" distL="114300" distR="114300" simplePos="0" relativeHeight="251658246" behindDoc="0" locked="0" layoutInCell="1" allowOverlap="1" wp14:anchorId="2E4ADC14" wp14:editId="60D80B26">
            <wp:simplePos x="0" y="0"/>
            <wp:positionH relativeFrom="column">
              <wp:posOffset>3980815</wp:posOffset>
            </wp:positionH>
            <wp:positionV relativeFrom="paragraph">
              <wp:posOffset>55245</wp:posOffset>
            </wp:positionV>
            <wp:extent cx="2571750" cy="2543810"/>
            <wp:effectExtent l="0" t="0" r="0" b="8890"/>
            <wp:wrapSquare wrapText="bothSides"/>
            <wp:docPr id="43596985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l="17374" r="11223"/>
                    <a:stretch>
                      <a:fillRect/>
                    </a:stretch>
                  </pic:blipFill>
                  <pic:spPr bwMode="auto">
                    <a:xfrm>
                      <a:off x="0" y="0"/>
                      <a:ext cx="2571750" cy="2543810"/>
                    </a:xfrm>
                    <a:prstGeom prst="rect">
                      <a:avLst/>
                    </a:prstGeom>
                    <a:noFill/>
                  </pic:spPr>
                </pic:pic>
              </a:graphicData>
            </a:graphic>
            <wp14:sizeRelH relativeFrom="page">
              <wp14:pctWidth>0</wp14:pctWidth>
            </wp14:sizeRelH>
            <wp14:sizeRelV relativeFrom="page">
              <wp14:pctHeight>0</wp14:pctHeight>
            </wp14:sizeRelV>
          </wp:anchor>
        </w:drawing>
      </w:r>
      <w:r w:rsidRPr="00184549">
        <w:rPr>
          <w:rFonts w:ascii="Gotham Rounded Book" w:hAnsi="Gotham Rounded Book"/>
        </w:rPr>
        <w:t>La mise en œuvre sera faite conformément au DTU 45.10.</w:t>
      </w:r>
    </w:p>
    <w:p w14:paraId="5A8B0F83" w14:textId="77777777" w:rsidR="00D26793" w:rsidRPr="00184549" w:rsidRDefault="00D26793" w:rsidP="00D26793">
      <w:pPr>
        <w:jc w:val="both"/>
        <w:rPr>
          <w:rFonts w:ascii="Gotham Rounded Book" w:hAnsi="Gotham Rounded Book"/>
        </w:rPr>
      </w:pPr>
      <w:r w:rsidRPr="00184549">
        <w:rPr>
          <w:rFonts w:ascii="Gotham Rounded Book" w:hAnsi="Gotham Rounded Book"/>
        </w:rPr>
        <w:t>Les isolants seront déroulés sur plancher bois ou sur plancher béton ou maçonné, sans lame d’air, lés bord à bord jointifs. Aucune fixation n’est nécessaire. L’isolant sera posé jusqu’à la panne sablière et devra remonter sur celle-ci, sans obstruer les entrées d’air nécessaires à la ventilation du comble. Lorsqu’il est présent, le surfaçage kraft sera placé côté inférieur.</w:t>
      </w:r>
    </w:p>
    <w:p w14:paraId="23DEF94C" w14:textId="77777777" w:rsidR="00D26793" w:rsidRPr="00184549" w:rsidRDefault="00D26793" w:rsidP="00D26793">
      <w:pPr>
        <w:jc w:val="both"/>
        <w:rPr>
          <w:rFonts w:ascii="Gotham Rounded Book" w:hAnsi="Gotham Rounded Book"/>
        </w:rPr>
      </w:pPr>
      <w:r w:rsidRPr="00184549">
        <w:rPr>
          <w:rFonts w:ascii="Gotham Rounded Book" w:hAnsi="Gotham Rounded Book"/>
        </w:rPr>
        <w:t>L’isolant pourra être posé en une ou deux couches. Dans ce dernier cas, la pose sera à joint décalé ou croisé. La seconde couche (posée sur la précédente) sera sans surfaçage ou s’il y en a un, il sera perforé.</w:t>
      </w:r>
    </w:p>
    <w:p w14:paraId="3C0E90E2" w14:textId="109DC6B6" w:rsidR="00D26793" w:rsidRPr="00184549" w:rsidRDefault="00D26793" w:rsidP="00D26793">
      <w:pPr>
        <w:jc w:val="both"/>
        <w:rPr>
          <w:rFonts w:ascii="Gotham Rounded Book" w:hAnsi="Gotham Rounded Book"/>
        </w:rPr>
      </w:pPr>
      <w:r w:rsidRPr="00184549">
        <w:rPr>
          <w:rFonts w:ascii="Gotham Rounded Book" w:hAnsi="Gotham Rounded Book"/>
        </w:rPr>
        <w:t>Lorsqu’un pare-vapeur est nécessaire, conformément au DTU 45.10, une membrane de gestion de la vapeur d’eau et d’étanchéité à l’air, de type V</w:t>
      </w:r>
      <w:r w:rsidR="002727F2" w:rsidRPr="00184549">
        <w:rPr>
          <w:rFonts w:ascii="Gotham Rounded Book" w:hAnsi="Gotham Rounded Book"/>
        </w:rPr>
        <w:t>ario</w:t>
      </w:r>
      <w:r w:rsidRPr="00184549">
        <w:rPr>
          <w:rFonts w:ascii="Gotham Rounded Book" w:hAnsi="Gotham Rounded Book"/>
          <w:vertAlign w:val="superscript"/>
        </w:rPr>
        <w:t>®</w:t>
      </w:r>
      <w:r w:rsidRPr="00184549">
        <w:rPr>
          <w:rFonts w:ascii="Gotham Rounded Book" w:hAnsi="Gotham Rounded Book"/>
        </w:rPr>
        <w:t xml:space="preserve"> </w:t>
      </w:r>
      <w:proofErr w:type="spellStart"/>
      <w:r w:rsidRPr="00184549">
        <w:rPr>
          <w:rFonts w:ascii="Gotham Rounded Book" w:hAnsi="Gotham Rounded Book"/>
        </w:rPr>
        <w:t>X</w:t>
      </w:r>
      <w:r w:rsidR="002727F2" w:rsidRPr="00184549">
        <w:rPr>
          <w:rFonts w:ascii="Gotham Rounded Book" w:hAnsi="Gotham Rounded Book"/>
        </w:rPr>
        <w:t>tra</w:t>
      </w:r>
      <w:proofErr w:type="spellEnd"/>
      <w:r w:rsidRPr="00184549">
        <w:rPr>
          <w:rFonts w:ascii="Gotham Rounded Book" w:hAnsi="Gotham Rounded Book"/>
        </w:rPr>
        <w:t xml:space="preserve"> de la société I</w:t>
      </w:r>
      <w:r w:rsidR="002727F2" w:rsidRPr="00184549">
        <w:rPr>
          <w:rFonts w:ascii="Gotham Rounded Book" w:hAnsi="Gotham Rounded Book"/>
        </w:rPr>
        <w:t>sover</w:t>
      </w:r>
      <w:r w:rsidRPr="00184549">
        <w:rPr>
          <w:rFonts w:ascii="Gotham Rounded Book" w:hAnsi="Gotham Rounded Book"/>
        </w:rPr>
        <w:t xml:space="preserve">, sera mise en œuvre avant de placer l’isolant. </w:t>
      </w:r>
      <w:r w:rsidR="009204E7" w:rsidRPr="00184549">
        <w:rPr>
          <w:rFonts w:ascii="Gotham Rounded Book" w:hAnsi="Gotham Rounded Book"/>
        </w:rPr>
        <w:t xml:space="preserve">La jonction entre les lés de membrane sera effectuée à l’aide d’un adhésif compatible avec la membrane, de type </w:t>
      </w:r>
      <w:r w:rsidR="009204E7" w:rsidRPr="00184549">
        <w:rPr>
          <w:rFonts w:ascii="Gotham Rounded Book" w:hAnsi="Gotham Rounded Book"/>
        </w:rPr>
        <w:lastRenderedPageBreak/>
        <w:t>Vario</w:t>
      </w:r>
      <w:r w:rsidR="009204E7" w:rsidRPr="00184549">
        <w:rPr>
          <w:rFonts w:ascii="Gotham Rounded Book" w:hAnsi="Gotham Rounded Book"/>
          <w:vertAlign w:val="superscript"/>
        </w:rPr>
        <w:t>®</w:t>
      </w:r>
      <w:r w:rsidR="009204E7" w:rsidRPr="00184549">
        <w:rPr>
          <w:rFonts w:ascii="Gotham Rounded Book" w:hAnsi="Gotham Rounded Book"/>
        </w:rPr>
        <w:t xml:space="preserve"> Fast </w:t>
      </w:r>
      <w:r w:rsidR="009204E7" w:rsidRPr="00184549">
        <w:rPr>
          <w:rFonts w:ascii="Gotham Rounded Book" w:hAnsi="Gotham Rounded Book"/>
          <w:color w:val="000000" w:themeColor="text1"/>
        </w:rPr>
        <w:t>Tape, et la jonction avec d’autres matériaux avec un mastic compatible, type Vario</w:t>
      </w:r>
      <w:r w:rsidR="009204E7" w:rsidRPr="00184549">
        <w:rPr>
          <w:rFonts w:ascii="Gotham Rounded Book" w:hAnsi="Gotham Rounded Book"/>
          <w:color w:val="000000" w:themeColor="text1"/>
          <w:vertAlign w:val="superscript"/>
        </w:rPr>
        <w:t>®</w:t>
      </w:r>
      <w:r w:rsidR="009204E7" w:rsidRPr="00184549">
        <w:rPr>
          <w:rFonts w:ascii="Gotham Rounded Book" w:hAnsi="Gotham Rounded Book"/>
          <w:color w:val="000000" w:themeColor="text1"/>
        </w:rPr>
        <w:t xml:space="preserve"> DoubleFit. </w:t>
      </w:r>
      <w:r w:rsidRPr="00184549">
        <w:rPr>
          <w:rFonts w:ascii="Gotham Rounded Book" w:hAnsi="Gotham Rounded Book"/>
        </w:rPr>
        <w:t>La jonction entre les lés de membrane sera effectuée à l’aide d’un adhésif compatible avec la membrane, de type V</w:t>
      </w:r>
      <w:r w:rsidR="002727F2" w:rsidRPr="00184549">
        <w:rPr>
          <w:rFonts w:ascii="Gotham Rounded Book" w:hAnsi="Gotham Rounded Book"/>
        </w:rPr>
        <w:t>ario</w:t>
      </w:r>
      <w:r w:rsidRPr="00184549">
        <w:rPr>
          <w:rFonts w:ascii="Gotham Rounded Book" w:hAnsi="Gotham Rounded Book"/>
          <w:vertAlign w:val="superscript"/>
        </w:rPr>
        <w:t>®</w:t>
      </w:r>
      <w:r w:rsidRPr="00184549">
        <w:rPr>
          <w:rFonts w:ascii="Gotham Rounded Book" w:hAnsi="Gotham Rounded Book"/>
        </w:rPr>
        <w:t xml:space="preserve"> F</w:t>
      </w:r>
      <w:r w:rsidR="009204E7" w:rsidRPr="00184549">
        <w:rPr>
          <w:rFonts w:ascii="Gotham Rounded Book" w:hAnsi="Gotham Rounded Book"/>
        </w:rPr>
        <w:t>ast</w:t>
      </w:r>
      <w:r w:rsidRPr="00184549">
        <w:rPr>
          <w:rFonts w:ascii="Gotham Rounded Book" w:hAnsi="Gotham Rounded Book"/>
        </w:rPr>
        <w:t xml:space="preserve"> </w:t>
      </w:r>
      <w:r w:rsidRPr="00184549">
        <w:rPr>
          <w:rFonts w:ascii="Gotham Rounded Book" w:hAnsi="Gotham Rounded Book"/>
          <w:color w:val="000000" w:themeColor="text1"/>
        </w:rPr>
        <w:t>T</w:t>
      </w:r>
      <w:r w:rsidR="009204E7" w:rsidRPr="00184549">
        <w:rPr>
          <w:rFonts w:ascii="Gotham Rounded Book" w:hAnsi="Gotham Rounded Book"/>
          <w:color w:val="000000" w:themeColor="text1"/>
        </w:rPr>
        <w:t>ape</w:t>
      </w:r>
      <w:r w:rsidRPr="00184549">
        <w:rPr>
          <w:rFonts w:ascii="Gotham Rounded Book" w:hAnsi="Gotham Rounded Book"/>
          <w:color w:val="000000" w:themeColor="text1"/>
        </w:rPr>
        <w:t>, et la jonction avec d’autres matériaux avec un mastic compatible, type V</w:t>
      </w:r>
      <w:r w:rsidR="002727F2" w:rsidRPr="00184549">
        <w:rPr>
          <w:rFonts w:ascii="Gotham Rounded Book" w:hAnsi="Gotham Rounded Book"/>
          <w:color w:val="000000" w:themeColor="text1"/>
        </w:rPr>
        <w:t>ario</w:t>
      </w:r>
      <w:r w:rsidRPr="00184549">
        <w:rPr>
          <w:rFonts w:ascii="Gotham Rounded Book" w:hAnsi="Gotham Rounded Book"/>
          <w:color w:val="000000" w:themeColor="text1"/>
          <w:vertAlign w:val="superscript"/>
        </w:rPr>
        <w:t>®</w:t>
      </w:r>
      <w:r w:rsidRPr="00184549">
        <w:rPr>
          <w:rFonts w:ascii="Gotham Rounded Book" w:hAnsi="Gotham Rounded Book"/>
          <w:color w:val="000000" w:themeColor="text1"/>
        </w:rPr>
        <w:t xml:space="preserve"> </w:t>
      </w:r>
      <w:proofErr w:type="spellStart"/>
      <w:r w:rsidRPr="00592559">
        <w:rPr>
          <w:rFonts w:ascii="Gotham Rounded Book" w:hAnsi="Gotham Rounded Book"/>
          <w:color w:val="000000" w:themeColor="text1"/>
        </w:rPr>
        <w:t>D</w:t>
      </w:r>
      <w:r w:rsidR="002727F2" w:rsidRPr="00592559">
        <w:rPr>
          <w:rFonts w:ascii="Gotham Rounded Book" w:hAnsi="Gotham Rounded Book"/>
          <w:color w:val="000000" w:themeColor="text1"/>
        </w:rPr>
        <w:t>ouble</w:t>
      </w:r>
      <w:r w:rsidRPr="00592559">
        <w:rPr>
          <w:rFonts w:ascii="Gotham Rounded Book" w:hAnsi="Gotham Rounded Book"/>
          <w:color w:val="000000" w:themeColor="text1"/>
        </w:rPr>
        <w:t>F</w:t>
      </w:r>
      <w:r w:rsidR="002727F2" w:rsidRPr="00592559">
        <w:rPr>
          <w:rFonts w:ascii="Gotham Rounded Book" w:hAnsi="Gotham Rounded Book"/>
          <w:color w:val="000000" w:themeColor="text1"/>
        </w:rPr>
        <w:t>it</w:t>
      </w:r>
      <w:proofErr w:type="spellEnd"/>
      <w:r w:rsidRPr="00592559">
        <w:rPr>
          <w:rFonts w:ascii="Gotham Rounded Book" w:hAnsi="Gotham Rounded Book"/>
          <w:color w:val="000000" w:themeColor="text1"/>
        </w:rPr>
        <w:t>.</w:t>
      </w:r>
      <w:r w:rsidRPr="00184549">
        <w:rPr>
          <w:rFonts w:ascii="Gotham Rounded Book" w:hAnsi="Gotham Rounded Book"/>
          <w:color w:val="000000" w:themeColor="text1"/>
        </w:rPr>
        <w:t xml:space="preserve"> </w:t>
      </w:r>
      <w:r w:rsidRPr="00184549">
        <w:rPr>
          <w:rFonts w:ascii="Gotham Rounded Book" w:hAnsi="Gotham Rounded Book"/>
        </w:rPr>
        <w:t>Toute perforation de l’ouvrage pare-vapeur devra être traitée.</w:t>
      </w:r>
    </w:p>
    <w:p w14:paraId="15D8F164" w14:textId="77777777" w:rsidR="00D26793" w:rsidRPr="00AE248B" w:rsidRDefault="00D26793" w:rsidP="00D26793">
      <w:pPr>
        <w:jc w:val="both"/>
        <w:rPr>
          <w:rFonts w:ascii="Gotham Rounded Book" w:hAnsi="Gotham Rounded Book"/>
          <w:sz w:val="6"/>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1474"/>
        <w:gridCol w:w="1474"/>
        <w:gridCol w:w="1474"/>
        <w:gridCol w:w="1474"/>
        <w:gridCol w:w="1474"/>
      </w:tblGrid>
      <w:tr w:rsidR="00D26793" w:rsidRPr="00666B9D" w14:paraId="311D3502" w14:textId="77777777" w:rsidTr="00A667BF">
        <w:tc>
          <w:tcPr>
            <w:tcW w:w="1474" w:type="dxa"/>
            <w:gridSpan w:val="6"/>
            <w:tcBorders>
              <w:bottom w:val="single" w:sz="4" w:space="0" w:color="FFE599" w:themeColor="accent4" w:themeTint="66"/>
            </w:tcBorders>
            <w:vAlign w:val="center"/>
          </w:tcPr>
          <w:p w14:paraId="3EB14126" w14:textId="77777777" w:rsidR="00D26793" w:rsidRPr="00D47ABD" w:rsidRDefault="00D26793" w:rsidP="00A667BF">
            <w:pPr>
              <w:pStyle w:val="Sansinterligne"/>
              <w:jc w:val="center"/>
              <w:rPr>
                <w:rFonts w:ascii="Gotham Rounded Book" w:hAnsi="Gotham Rounded Book"/>
              </w:rPr>
            </w:pPr>
            <w:r w:rsidRPr="00D47ABD">
              <w:rPr>
                <w:rFonts w:ascii="Gotham Rounded Book" w:hAnsi="Gotham Rounded Book"/>
              </w:rPr>
              <w:t>Résistance thermique</w:t>
            </w:r>
          </w:p>
        </w:tc>
      </w:tr>
      <w:tr w:rsidR="00D26793" w:rsidRPr="00666B9D" w14:paraId="0179E268" w14:textId="77777777" w:rsidTr="00A667BF">
        <w:tc>
          <w:tcPr>
            <w:tcW w:w="2564" w:type="dxa"/>
            <w:tcBorders>
              <w:bottom w:val="single" w:sz="4" w:space="0" w:color="44546A" w:themeColor="text2"/>
              <w:right w:val="single" w:sz="4" w:space="0" w:color="44546A" w:themeColor="text2"/>
            </w:tcBorders>
            <w:shd w:val="clear" w:color="auto" w:fill="E7E6E6" w:themeFill="background2"/>
            <w:vAlign w:val="center"/>
          </w:tcPr>
          <w:p w14:paraId="48875E46" w14:textId="77777777" w:rsidR="00D26793" w:rsidRPr="00666B9D" w:rsidRDefault="00D26793" w:rsidP="00A667BF">
            <w:pPr>
              <w:spacing w:after="0" w:line="240" w:lineRule="auto"/>
              <w:rPr>
                <w:rFonts w:ascii="GothamMedium" w:hAnsi="GothamMedium"/>
                <w:b/>
                <w:sz w:val="18"/>
                <w:szCs w:val="18"/>
              </w:rPr>
            </w:pPr>
            <w:r w:rsidRPr="00666B9D">
              <w:rPr>
                <w:rFonts w:ascii="GothamMedium" w:hAnsi="GothamMedium"/>
                <w:sz w:val="18"/>
                <w:szCs w:val="18"/>
              </w:rPr>
              <w:t>Epaisseur</w:t>
            </w:r>
            <w:r>
              <w:rPr>
                <w:rFonts w:ascii="GothamMedium" w:hAnsi="GothamMedium"/>
                <w:sz w:val="18"/>
                <w:szCs w:val="18"/>
              </w:rPr>
              <w:t xml:space="preserve"> IBR</w:t>
            </w:r>
            <w:r w:rsidRPr="00666B9D">
              <w:rPr>
                <w:rFonts w:ascii="GothamMedium" w:hAnsi="GothamMedium"/>
                <w:sz w:val="18"/>
                <w:szCs w:val="18"/>
              </w:rPr>
              <w:t xml:space="preserve"> (mm)</w:t>
            </w:r>
          </w:p>
        </w:tc>
        <w:tc>
          <w:tcPr>
            <w:tcW w:w="147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C388763" w14:textId="77777777" w:rsidR="00D26793" w:rsidRPr="00666B9D" w:rsidRDefault="00D26793" w:rsidP="00A667BF">
            <w:pPr>
              <w:spacing w:after="0" w:line="240" w:lineRule="auto"/>
              <w:jc w:val="center"/>
              <w:rPr>
                <w:rFonts w:asciiTheme="majorHAnsi" w:hAnsiTheme="majorHAnsi"/>
                <w:b/>
                <w:sz w:val="18"/>
                <w:szCs w:val="18"/>
              </w:rPr>
            </w:pPr>
            <w:r>
              <w:rPr>
                <w:rFonts w:asciiTheme="majorHAnsi" w:hAnsiTheme="majorHAnsi"/>
                <w:b/>
                <w:sz w:val="18"/>
                <w:szCs w:val="18"/>
              </w:rPr>
              <w:t>200</w:t>
            </w:r>
          </w:p>
        </w:tc>
        <w:tc>
          <w:tcPr>
            <w:tcW w:w="147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FAEA047" w14:textId="77777777" w:rsidR="00D26793" w:rsidRPr="00666B9D" w:rsidRDefault="00D26793" w:rsidP="00A667BF">
            <w:pPr>
              <w:spacing w:after="0" w:line="240" w:lineRule="auto"/>
              <w:jc w:val="center"/>
              <w:rPr>
                <w:rFonts w:asciiTheme="majorHAnsi" w:hAnsiTheme="majorHAnsi"/>
                <w:b/>
                <w:sz w:val="18"/>
                <w:szCs w:val="18"/>
              </w:rPr>
            </w:pPr>
            <w:r>
              <w:rPr>
                <w:rFonts w:asciiTheme="majorHAnsi" w:hAnsiTheme="majorHAnsi"/>
                <w:b/>
                <w:sz w:val="18"/>
                <w:szCs w:val="18"/>
              </w:rPr>
              <w:t>240</w:t>
            </w:r>
          </w:p>
        </w:tc>
        <w:tc>
          <w:tcPr>
            <w:tcW w:w="147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947B04B" w14:textId="77777777" w:rsidR="00D26793" w:rsidRPr="00666B9D" w:rsidRDefault="00D26793" w:rsidP="00A667BF">
            <w:pPr>
              <w:spacing w:after="0" w:line="240" w:lineRule="auto"/>
              <w:jc w:val="center"/>
              <w:rPr>
                <w:rFonts w:asciiTheme="majorHAnsi" w:hAnsiTheme="majorHAnsi"/>
                <w:b/>
                <w:sz w:val="18"/>
                <w:szCs w:val="18"/>
              </w:rPr>
            </w:pPr>
            <w:r>
              <w:rPr>
                <w:rFonts w:asciiTheme="majorHAnsi" w:hAnsiTheme="majorHAnsi"/>
                <w:b/>
                <w:sz w:val="18"/>
                <w:szCs w:val="18"/>
              </w:rPr>
              <w:t>300</w:t>
            </w:r>
          </w:p>
        </w:tc>
        <w:tc>
          <w:tcPr>
            <w:tcW w:w="147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E42E152" w14:textId="77777777" w:rsidR="00D26793" w:rsidRPr="00666B9D" w:rsidRDefault="00D26793" w:rsidP="00A667BF">
            <w:pPr>
              <w:spacing w:after="0" w:line="240" w:lineRule="auto"/>
              <w:jc w:val="center"/>
              <w:rPr>
                <w:rFonts w:asciiTheme="majorHAnsi" w:hAnsiTheme="majorHAnsi"/>
                <w:b/>
                <w:sz w:val="18"/>
                <w:szCs w:val="18"/>
              </w:rPr>
            </w:pPr>
            <w:r>
              <w:rPr>
                <w:rFonts w:asciiTheme="majorHAnsi" w:hAnsiTheme="majorHAnsi"/>
                <w:b/>
                <w:sz w:val="18"/>
                <w:szCs w:val="18"/>
              </w:rPr>
              <w:t>320</w:t>
            </w:r>
          </w:p>
        </w:tc>
        <w:tc>
          <w:tcPr>
            <w:tcW w:w="1474" w:type="dxa"/>
            <w:tcBorders>
              <w:left w:val="single" w:sz="4" w:space="0" w:color="44546A" w:themeColor="text2"/>
              <w:bottom w:val="single" w:sz="4" w:space="0" w:color="44546A" w:themeColor="text2"/>
            </w:tcBorders>
            <w:shd w:val="clear" w:color="auto" w:fill="E7E6E6" w:themeFill="background2"/>
            <w:vAlign w:val="center"/>
          </w:tcPr>
          <w:p w14:paraId="16CAE9D9" w14:textId="77777777" w:rsidR="00D26793" w:rsidRDefault="00D26793" w:rsidP="00A667BF">
            <w:pPr>
              <w:spacing w:after="0" w:line="240" w:lineRule="auto"/>
              <w:jc w:val="center"/>
              <w:rPr>
                <w:rFonts w:asciiTheme="majorHAnsi" w:hAnsiTheme="majorHAnsi"/>
                <w:b/>
                <w:sz w:val="18"/>
                <w:szCs w:val="18"/>
              </w:rPr>
            </w:pPr>
            <w:r>
              <w:rPr>
                <w:rFonts w:asciiTheme="majorHAnsi" w:hAnsiTheme="majorHAnsi"/>
                <w:b/>
                <w:sz w:val="18"/>
                <w:szCs w:val="18"/>
              </w:rPr>
              <w:t>400</w:t>
            </w:r>
          </w:p>
        </w:tc>
      </w:tr>
      <w:tr w:rsidR="00D26793" w:rsidRPr="00666B9D" w14:paraId="49055C1D" w14:textId="77777777" w:rsidTr="00A667BF">
        <w:tc>
          <w:tcPr>
            <w:tcW w:w="2564" w:type="dxa"/>
            <w:tcBorders>
              <w:top w:val="single" w:sz="4" w:space="0" w:color="44546A" w:themeColor="text2"/>
              <w:bottom w:val="nil"/>
              <w:right w:val="single" w:sz="4" w:space="0" w:color="44546A" w:themeColor="text2"/>
            </w:tcBorders>
            <w:vAlign w:val="center"/>
          </w:tcPr>
          <w:p w14:paraId="3BEF6894" w14:textId="77777777" w:rsidR="00D26793" w:rsidRPr="00666B9D" w:rsidRDefault="00D26793" w:rsidP="00A667BF">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474" w:type="dxa"/>
            <w:tcBorders>
              <w:top w:val="single" w:sz="4" w:space="0" w:color="44546A" w:themeColor="text2"/>
              <w:left w:val="single" w:sz="4" w:space="0" w:color="44546A" w:themeColor="text2"/>
              <w:bottom w:val="nil"/>
              <w:right w:val="single" w:sz="4" w:space="0" w:color="44546A" w:themeColor="text2"/>
            </w:tcBorders>
            <w:vAlign w:val="center"/>
          </w:tcPr>
          <w:p w14:paraId="6A8BC377" w14:textId="77777777" w:rsidR="00D26793" w:rsidRPr="009A4A5D" w:rsidRDefault="00D26793" w:rsidP="00A667BF">
            <w:pPr>
              <w:spacing w:after="0" w:line="240" w:lineRule="auto"/>
              <w:jc w:val="center"/>
              <w:rPr>
                <w:rFonts w:asciiTheme="majorHAnsi" w:hAnsiTheme="majorHAnsi"/>
                <w:sz w:val="18"/>
                <w:szCs w:val="18"/>
              </w:rPr>
            </w:pPr>
            <w:r>
              <w:rPr>
                <w:rFonts w:asciiTheme="majorHAnsi" w:hAnsiTheme="majorHAnsi"/>
                <w:sz w:val="18"/>
                <w:szCs w:val="18"/>
              </w:rPr>
              <w:t>5,00</w:t>
            </w:r>
          </w:p>
        </w:tc>
        <w:tc>
          <w:tcPr>
            <w:tcW w:w="1474" w:type="dxa"/>
            <w:tcBorders>
              <w:top w:val="single" w:sz="4" w:space="0" w:color="44546A" w:themeColor="text2"/>
              <w:left w:val="single" w:sz="4" w:space="0" w:color="44546A" w:themeColor="text2"/>
              <w:bottom w:val="nil"/>
              <w:right w:val="single" w:sz="4" w:space="0" w:color="44546A" w:themeColor="text2"/>
            </w:tcBorders>
            <w:vAlign w:val="center"/>
          </w:tcPr>
          <w:p w14:paraId="0ED69F66" w14:textId="77777777" w:rsidR="00D26793" w:rsidRPr="009A4A5D" w:rsidRDefault="00D26793" w:rsidP="00A667BF">
            <w:pPr>
              <w:spacing w:after="0" w:line="240" w:lineRule="auto"/>
              <w:jc w:val="center"/>
              <w:rPr>
                <w:rFonts w:asciiTheme="majorHAnsi" w:hAnsiTheme="majorHAnsi"/>
                <w:sz w:val="18"/>
                <w:szCs w:val="18"/>
              </w:rPr>
            </w:pPr>
            <w:r>
              <w:rPr>
                <w:rFonts w:asciiTheme="majorHAnsi" w:hAnsiTheme="majorHAnsi"/>
                <w:sz w:val="18"/>
                <w:szCs w:val="18"/>
              </w:rPr>
              <w:t>6,00</w:t>
            </w:r>
          </w:p>
        </w:tc>
        <w:tc>
          <w:tcPr>
            <w:tcW w:w="1474" w:type="dxa"/>
            <w:tcBorders>
              <w:top w:val="single" w:sz="4" w:space="0" w:color="44546A" w:themeColor="text2"/>
              <w:left w:val="single" w:sz="4" w:space="0" w:color="44546A" w:themeColor="text2"/>
              <w:bottom w:val="nil"/>
              <w:right w:val="single" w:sz="4" w:space="0" w:color="44546A" w:themeColor="text2"/>
            </w:tcBorders>
            <w:vAlign w:val="center"/>
          </w:tcPr>
          <w:p w14:paraId="5AADC67F" w14:textId="77777777" w:rsidR="00D26793" w:rsidRPr="009A4A5D" w:rsidRDefault="00D26793" w:rsidP="00A667BF">
            <w:pPr>
              <w:spacing w:after="0" w:line="240" w:lineRule="auto"/>
              <w:jc w:val="center"/>
              <w:rPr>
                <w:rFonts w:asciiTheme="majorHAnsi" w:hAnsiTheme="majorHAnsi"/>
                <w:sz w:val="18"/>
                <w:szCs w:val="18"/>
              </w:rPr>
            </w:pPr>
            <w:r>
              <w:rPr>
                <w:rFonts w:asciiTheme="majorHAnsi" w:hAnsiTheme="majorHAnsi"/>
                <w:sz w:val="18"/>
                <w:szCs w:val="18"/>
              </w:rPr>
              <w:t>7,50</w:t>
            </w:r>
          </w:p>
        </w:tc>
        <w:tc>
          <w:tcPr>
            <w:tcW w:w="1474" w:type="dxa"/>
            <w:tcBorders>
              <w:top w:val="single" w:sz="4" w:space="0" w:color="44546A" w:themeColor="text2"/>
              <w:left w:val="single" w:sz="4" w:space="0" w:color="44546A" w:themeColor="text2"/>
              <w:bottom w:val="nil"/>
              <w:right w:val="single" w:sz="4" w:space="0" w:color="44546A" w:themeColor="text2"/>
            </w:tcBorders>
            <w:vAlign w:val="center"/>
          </w:tcPr>
          <w:p w14:paraId="57A4EA0D" w14:textId="77777777" w:rsidR="00D26793" w:rsidRPr="009A4A5D" w:rsidRDefault="00D26793" w:rsidP="00A667BF">
            <w:pPr>
              <w:spacing w:after="0" w:line="240" w:lineRule="auto"/>
              <w:jc w:val="center"/>
              <w:rPr>
                <w:rFonts w:asciiTheme="majorHAnsi" w:hAnsiTheme="majorHAnsi"/>
                <w:sz w:val="18"/>
                <w:szCs w:val="18"/>
              </w:rPr>
            </w:pPr>
            <w:r>
              <w:rPr>
                <w:rFonts w:asciiTheme="majorHAnsi" w:hAnsiTheme="majorHAnsi"/>
                <w:sz w:val="18"/>
                <w:szCs w:val="18"/>
              </w:rPr>
              <w:t>8,00</w:t>
            </w:r>
          </w:p>
        </w:tc>
        <w:tc>
          <w:tcPr>
            <w:tcW w:w="1474" w:type="dxa"/>
            <w:tcBorders>
              <w:top w:val="single" w:sz="4" w:space="0" w:color="44546A" w:themeColor="text2"/>
              <w:left w:val="single" w:sz="4" w:space="0" w:color="44546A" w:themeColor="text2"/>
              <w:bottom w:val="nil"/>
            </w:tcBorders>
            <w:vAlign w:val="center"/>
          </w:tcPr>
          <w:p w14:paraId="6CB3CE7C" w14:textId="77777777" w:rsidR="00D26793" w:rsidRPr="009A4A5D" w:rsidRDefault="00D26793" w:rsidP="00A667BF">
            <w:pPr>
              <w:spacing w:after="0" w:line="240" w:lineRule="auto"/>
              <w:jc w:val="center"/>
              <w:rPr>
                <w:rFonts w:asciiTheme="majorHAnsi" w:hAnsiTheme="majorHAnsi"/>
                <w:sz w:val="18"/>
                <w:szCs w:val="18"/>
              </w:rPr>
            </w:pPr>
            <w:r>
              <w:rPr>
                <w:rFonts w:asciiTheme="majorHAnsi" w:hAnsiTheme="majorHAnsi"/>
                <w:sz w:val="18"/>
                <w:szCs w:val="18"/>
              </w:rPr>
              <w:t>10,00</w:t>
            </w:r>
          </w:p>
        </w:tc>
      </w:tr>
    </w:tbl>
    <w:p w14:paraId="6DABA21E" w14:textId="77777777" w:rsidR="00D26793" w:rsidRDefault="00D26793" w:rsidP="00D26793"/>
    <w:p w14:paraId="6055A350" w14:textId="234077F4" w:rsidR="00A1560A" w:rsidRPr="00D26070" w:rsidRDefault="00A1560A" w:rsidP="00D26070">
      <w:pPr>
        <w:pStyle w:val="Bestektekst"/>
        <w:jc w:val="center"/>
        <w:rPr>
          <w:rFonts w:asciiTheme="minorHAnsi" w:hAnsiTheme="minorHAnsi" w:cstheme="minorHAnsi"/>
          <w:i/>
          <w:iCs/>
          <w:sz w:val="22"/>
          <w:szCs w:val="22"/>
          <w:highlight w:val="yellow"/>
        </w:rPr>
      </w:pPr>
    </w:p>
    <w:sectPr w:rsidR="00A1560A" w:rsidRPr="00D26070"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DF37A" w14:textId="77777777" w:rsidR="00BC7A97" w:rsidRDefault="00BC7A97" w:rsidP="00E5674E">
      <w:pPr>
        <w:spacing w:after="0" w:line="240" w:lineRule="auto"/>
      </w:pPr>
      <w:r>
        <w:separator/>
      </w:r>
    </w:p>
  </w:endnote>
  <w:endnote w:type="continuationSeparator" w:id="0">
    <w:p w14:paraId="3974B602" w14:textId="77777777" w:rsidR="00BC7A97" w:rsidRDefault="00BC7A97"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Arial"/>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1E56D10F"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6E5935">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027F0461"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6E5935">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3FB3F" w14:textId="77777777" w:rsidR="00BC7A97" w:rsidRDefault="00BC7A97" w:rsidP="00E5674E">
      <w:pPr>
        <w:spacing w:after="0" w:line="240" w:lineRule="auto"/>
      </w:pPr>
      <w:r>
        <w:separator/>
      </w:r>
    </w:p>
  </w:footnote>
  <w:footnote w:type="continuationSeparator" w:id="0">
    <w:p w14:paraId="178AE03D" w14:textId="77777777" w:rsidR="00BC7A97" w:rsidRDefault="00BC7A97"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3"/>
  </w:num>
  <w:num w:numId="4" w16cid:durableId="973873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66E19"/>
    <w:rsid w:val="00085850"/>
    <w:rsid w:val="000D234E"/>
    <w:rsid w:val="000F7309"/>
    <w:rsid w:val="001318E2"/>
    <w:rsid w:val="00184549"/>
    <w:rsid w:val="002301F6"/>
    <w:rsid w:val="00233D90"/>
    <w:rsid w:val="002727F2"/>
    <w:rsid w:val="00277B8D"/>
    <w:rsid w:val="00286B57"/>
    <w:rsid w:val="002A4C54"/>
    <w:rsid w:val="002B147C"/>
    <w:rsid w:val="003009E0"/>
    <w:rsid w:val="00306F8C"/>
    <w:rsid w:val="00313A38"/>
    <w:rsid w:val="003431B6"/>
    <w:rsid w:val="00364DE6"/>
    <w:rsid w:val="00365CC5"/>
    <w:rsid w:val="003A5D23"/>
    <w:rsid w:val="003D3A2F"/>
    <w:rsid w:val="00465161"/>
    <w:rsid w:val="00472E19"/>
    <w:rsid w:val="004A65AB"/>
    <w:rsid w:val="004C223C"/>
    <w:rsid w:val="004C6B5A"/>
    <w:rsid w:val="004C6DBD"/>
    <w:rsid w:val="004E1FC5"/>
    <w:rsid w:val="00536628"/>
    <w:rsid w:val="00556BB8"/>
    <w:rsid w:val="00562906"/>
    <w:rsid w:val="00575373"/>
    <w:rsid w:val="00592559"/>
    <w:rsid w:val="005A266F"/>
    <w:rsid w:val="005B201D"/>
    <w:rsid w:val="005F45C8"/>
    <w:rsid w:val="005F4C95"/>
    <w:rsid w:val="00623375"/>
    <w:rsid w:val="00670D78"/>
    <w:rsid w:val="0067202C"/>
    <w:rsid w:val="006A7C4F"/>
    <w:rsid w:val="006B25AE"/>
    <w:rsid w:val="006C7C98"/>
    <w:rsid w:val="006E5935"/>
    <w:rsid w:val="006F3916"/>
    <w:rsid w:val="00756779"/>
    <w:rsid w:val="00767926"/>
    <w:rsid w:val="00772CEF"/>
    <w:rsid w:val="007842D4"/>
    <w:rsid w:val="007C1B98"/>
    <w:rsid w:val="007D3041"/>
    <w:rsid w:val="007F12B7"/>
    <w:rsid w:val="00806939"/>
    <w:rsid w:val="00817868"/>
    <w:rsid w:val="00833C7C"/>
    <w:rsid w:val="008C713D"/>
    <w:rsid w:val="008D735B"/>
    <w:rsid w:val="009204E7"/>
    <w:rsid w:val="00923493"/>
    <w:rsid w:val="00930EF8"/>
    <w:rsid w:val="009801A4"/>
    <w:rsid w:val="009877EB"/>
    <w:rsid w:val="009B557C"/>
    <w:rsid w:val="009D4FDB"/>
    <w:rsid w:val="009E34D6"/>
    <w:rsid w:val="009E3F5A"/>
    <w:rsid w:val="009F1DEA"/>
    <w:rsid w:val="00A1560A"/>
    <w:rsid w:val="00A36111"/>
    <w:rsid w:val="00A71957"/>
    <w:rsid w:val="00A8485E"/>
    <w:rsid w:val="00A92BF9"/>
    <w:rsid w:val="00A94BF7"/>
    <w:rsid w:val="00A96256"/>
    <w:rsid w:val="00AB4351"/>
    <w:rsid w:val="00AC360F"/>
    <w:rsid w:val="00AD7A92"/>
    <w:rsid w:val="00B01F64"/>
    <w:rsid w:val="00B075CE"/>
    <w:rsid w:val="00B36BE3"/>
    <w:rsid w:val="00B7086A"/>
    <w:rsid w:val="00B750F6"/>
    <w:rsid w:val="00B82025"/>
    <w:rsid w:val="00B84718"/>
    <w:rsid w:val="00BA3003"/>
    <w:rsid w:val="00BC7A97"/>
    <w:rsid w:val="00C01353"/>
    <w:rsid w:val="00C1656A"/>
    <w:rsid w:val="00C63968"/>
    <w:rsid w:val="00CD7F38"/>
    <w:rsid w:val="00CE24E3"/>
    <w:rsid w:val="00CE7AA3"/>
    <w:rsid w:val="00CF0798"/>
    <w:rsid w:val="00CF6D02"/>
    <w:rsid w:val="00CF7EBB"/>
    <w:rsid w:val="00D0510A"/>
    <w:rsid w:val="00D21A6D"/>
    <w:rsid w:val="00D26070"/>
    <w:rsid w:val="00D26793"/>
    <w:rsid w:val="00D90DDA"/>
    <w:rsid w:val="00DA23D4"/>
    <w:rsid w:val="00DB5F0A"/>
    <w:rsid w:val="00DD4E2C"/>
    <w:rsid w:val="00DD6C4E"/>
    <w:rsid w:val="00E15FDA"/>
    <w:rsid w:val="00E452A3"/>
    <w:rsid w:val="00E5674E"/>
    <w:rsid w:val="00E62131"/>
    <w:rsid w:val="00E65892"/>
    <w:rsid w:val="00EA6620"/>
    <w:rsid w:val="00EB0346"/>
    <w:rsid w:val="00EC6D92"/>
    <w:rsid w:val="00ED705A"/>
    <w:rsid w:val="00ED73F8"/>
    <w:rsid w:val="00F22D72"/>
    <w:rsid w:val="00F46592"/>
    <w:rsid w:val="00F66626"/>
    <w:rsid w:val="00F9121B"/>
    <w:rsid w:val="00F94F4D"/>
    <w:rsid w:val="00FA7550"/>
    <w:rsid w:val="00FD1C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26EAC0CA-8DC6-4921-82F4-44F401AA2179}"/>
</file>

<file path=customXml/itemProps3.xml><?xml version="1.0" encoding="utf-8"?>
<ds:datastoreItem xmlns:ds="http://schemas.openxmlformats.org/officeDocument/2006/customXml" ds:itemID="{312BE4D5-F7E5-4397-9947-526A493EC1E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2</Pages>
  <Words>282</Words>
  <Characters>1556</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Goudard, Jerome</cp:lastModifiedBy>
  <cp:revision>32</cp:revision>
  <dcterms:created xsi:type="dcterms:W3CDTF">2024-01-17T16:11:00Z</dcterms:created>
  <dcterms:modified xsi:type="dcterms:W3CDTF">2025-08-12T10:09:00Z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